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Дата:14.02.2024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Класс: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10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урока: Образование и развитие половых клеток. Оплодотворение. Лабораторная работа № 4 «Изучение строения половых клеток на готовых микропрепаратах»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 Изучите представленный ниже теоретический материал: </w:t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 w:eastAsia="MS Mincho"/>
          <w:b w:val="false"/>
          <w:b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eastAsia="MS Mincho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00" w:val="clear"/>
          <w:lang w:val="ru-RU" w:eastAsia="zh-CN" w:bidi="hi-IN"/>
        </w:rPr>
        <w:t>Т</w:t>
      </w: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 xml:space="preserve">еория: </w:t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 w:eastAsia="MS Mincho"/>
          <w:b w:val="false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Гаметогенез — процесс образования и созревания половых клеток — гамет.</w:t>
        <w:br/>
        <w:t>У многоклеточных водорослей, многих грибов и высших споровых растений формирование гамет происходит в специальных органах полового размножения — гаметангиях.</w:t>
        <w:br/>
        <w:t>У высших споровых растений женские гаметангии называются архегониями, мужские — антеридиями.</w:t>
        <w:br/>
        <w:t>У животных гаметогенез протекает в специальных половых железах — гонадах.</w:t>
        <w:br/>
        <w:t>У губок и кишечнополостных половые железы отсутствуют и гаметы возникают из соматических клеток.</w:t>
        <w:br/>
        <w:t>Гонады:</w:t>
        <w:br/>
        <w:t>семенники — мужские гонады;</w:t>
        <w:br/>
        <w:t>яичники — женские гонады</w:t>
        <w:br/>
        <w:t>Уже у некоторых червей и моллюсков в дополнение к гонадам сформировались половые протоки — семяпроводы и яйцеводы.</w:t>
        <w:br/>
        <w:t>Гонады и половые протоки составляют основные функциональные части внутренних половых органов, и они имеются у всех более высокоорганизованных животных.</w:t>
        <w:br/>
        <w:t>У большинства низших животных гаметы вырабатываются в течение всей жизни, у высших — только в период половой активности, с момента полового созревания до затухания деятельности желез в старости.</w:t>
        <w:br/>
        <w:t>Гаметогенез делится на:</w:t>
        <w:br/>
      </w: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468A1A"/>
          <w:spacing w:val="0"/>
          <w:sz w:val="28"/>
          <w:szCs w:val="28"/>
        </w:rPr>
        <w:t>сперматогенез — образование и созревание мужских половых клеток — сперматозоидов;</w:t>
        <w:br/>
        <w:t>овогенез (оогенез) — образование и созревание женских половых клеток — яйцеклеток.</w:t>
      </w: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Основой гаметогенеза служит мейоз — редукционное деление клетки с уменьшением вдвое числа хромосом. Результат: гаплоидные гаметы.</w:t>
        <w:br/>
        <w:t>Слияние гамет восстанавливает число хромосом в зиготе до диплоидного. Последующее деление зиготы происходит путем митоза (т. е. все клетки организма диплоидные).</w:t>
        <w:br/>
        <w:t>У всех многоклеточных организмов деление всех клеток тела, кроме половых, происходит путем митоза. Следовательно, бесполое размножение клеток посредством деления надвое сохранилось в эволюции как основной механизм роста и развития организма, но не его репродукции.</w:t>
        <w:br/>
        <w:t>Определение</w:t>
        <w:br/>
      </w: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468A1A"/>
          <w:spacing w:val="0"/>
          <w:sz w:val="28"/>
          <w:szCs w:val="28"/>
        </w:rPr>
        <w:t>Оплодотворение — это процесс соединения двух гамет (n), в результате чего образуется оплодотворенное яйцо зигота (2n).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lineRule="auto" w:line="240" w:before="69" w:after="0"/>
        <w:jc w:val="start"/>
        <w:rPr>
          <w:rFonts w:eastAsia="MS Mincho"/>
          <w:b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2. В</w:t>
      </w:r>
      <w:r>
        <w:rPr>
          <w:rFonts w:ascii="Times New Roman" w:hAnsi="Times New Roman"/>
          <w:sz w:val="28"/>
          <w:szCs w:val="28"/>
        </w:rPr>
        <w:t xml:space="preserve">ыполните 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лабораторную </w:t>
      </w:r>
      <w:r>
        <w:rPr>
          <w:rFonts w:ascii="Times New Roman" w:hAnsi="Times New Roman"/>
          <w:sz w:val="28"/>
          <w:szCs w:val="28"/>
        </w:rPr>
        <w:t xml:space="preserve">работу. 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Р</w:t>
      </w:r>
      <w:r>
        <w:rPr>
          <w:rFonts w:ascii="Times New Roman" w:hAnsi="Times New Roman"/>
          <w:sz w:val="28"/>
          <w:szCs w:val="28"/>
        </w:rPr>
        <w:t xml:space="preserve">аботу выполнить на отдельном листе и сдать на следующий урок. </w:t>
      </w:r>
      <w:r>
        <w:rPr>
          <w:rFonts w:ascii="Times New Roman" w:hAnsi="Times New Roman"/>
          <w:sz w:val="28"/>
          <w:szCs w:val="28"/>
          <w:shd w:fill="FFFF00" w:val="clear"/>
        </w:rPr>
        <w:t xml:space="preserve">Записать число и тему: 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A933"/>
          <w:spacing w:val="0"/>
          <w:sz w:val="28"/>
          <w:szCs w:val="28"/>
        </w:rPr>
        <w:t xml:space="preserve">14.02.2024.         </w:t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color w:val="50938A"/>
          <w:sz w:val="28"/>
          <w:szCs w:val="28"/>
        </w:rPr>
      </w:pPr>
      <w:r>
        <w:rPr>
          <w:rFonts w:eastAsia="MS Mincho" w:ascii="Times New Roman" w:hAnsi="Times New Roman"/>
          <w:b/>
          <w:color w:val="50938A"/>
          <w:sz w:val="28"/>
          <w:szCs w:val="28"/>
        </w:rPr>
        <w:t xml:space="preserve">Лабораторная работа №4 </w:t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color w:val="50938A"/>
          <w:sz w:val="28"/>
          <w:szCs w:val="28"/>
        </w:rPr>
      </w:pPr>
      <w:r>
        <w:rPr>
          <w:rFonts w:eastAsia="MS Mincho" w:ascii="Times New Roman" w:hAnsi="Times New Roman"/>
          <w:b/>
          <w:color w:val="50938A"/>
          <w:sz w:val="28"/>
          <w:szCs w:val="28"/>
        </w:rPr>
        <w:t>«Изучение строения половых клеток на готовых микропрепаратах».</w:t>
      </w:r>
    </w:p>
    <w:p>
      <w:pPr>
        <w:pStyle w:val="Normal"/>
        <w:tabs>
          <w:tab w:val="clear" w:pos="709"/>
          <w:tab w:val="left" w:pos="115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  <w:t xml:space="preserve">Цель: </w:t>
      </w:r>
      <w:r>
        <w:rPr>
          <w:rFonts w:eastAsia="MS Mincho" w:ascii="Times New Roman" w:hAnsi="Times New Roman"/>
          <w:sz w:val="28"/>
          <w:szCs w:val="28"/>
        </w:rPr>
        <w:t>изучить и сравнить строение яйцеклетки и сперматозоида, установить связь между их  строением и функциями.</w:t>
      </w:r>
    </w:p>
    <w:p>
      <w:pPr>
        <w:pStyle w:val="Normal"/>
        <w:tabs>
          <w:tab w:val="clear" w:pos="709"/>
          <w:tab w:val="left" w:pos="115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  <w:t>Оборудование</w:t>
      </w:r>
      <w:r>
        <w:rPr>
          <w:rFonts w:eastAsia="MS Mincho" w:ascii="Times New Roman" w:hAnsi="Times New Roman"/>
          <w:sz w:val="28"/>
          <w:szCs w:val="28"/>
        </w:rPr>
        <w:t>: рисунки, таблицы, учебник.</w:t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  <w:t>Ход работы;</w:t>
      </w:r>
    </w:p>
    <w:p>
      <w:pPr>
        <w:pStyle w:val="Normal"/>
        <w:tabs>
          <w:tab w:val="clear" w:pos="709"/>
          <w:tab w:val="left" w:pos="1155" w:leader="none"/>
        </w:tabs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 xml:space="preserve">1. </w:t>
      </w:r>
      <w:r>
        <w:rPr>
          <w:rFonts w:eastAsia="MS Mincho" w:ascii="Times New Roman" w:hAnsi="Times New Roman"/>
          <w:sz w:val="28"/>
          <w:szCs w:val="28"/>
        </w:rPr>
        <w:t xml:space="preserve">Половые клетки (гаметы) животных – это яйцеклетки и сперматозоиды. Они отличаются своими размерами, строением, функциями. </w:t>
      </w: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Выполните рисунки:</w:t>
      </w:r>
      <w:r>
        <w:rPr>
          <w:rFonts w:eastAsia="MS Mincho"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483735" cy="3101975"/>
            <wp:effectExtent l="0" t="0" r="0" b="0"/>
            <wp:docPr id="1" name="Рисунок 7" descr="http://hystology.ru/img/B10457p46-a1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://hystology.ru/img/B10457p46-a1.jp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  <w:t>рис. Строение сперматозоида</w:t>
      </w:r>
    </w:p>
    <w:p>
      <w:pPr>
        <w:pStyle w:val="Normal"/>
        <w:tabs>
          <w:tab w:val="clear" w:pos="709"/>
          <w:tab w:val="left" w:pos="1155" w:leader="none"/>
        </w:tabs>
        <w:jc w:val="both"/>
        <w:rPr>
          <w:rFonts w:ascii="Times New Roman" w:hAnsi="Times New Roman" w:eastAsia="MS Mincho"/>
          <w:b/>
          <w:b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3371850" cy="2967990"/>
            <wp:effectExtent l="0" t="0" r="0" b="0"/>
            <wp:docPr id="2" name="Рисунок 4" descr="http://zooschool.ru/attach/img1/797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zooschool.ru/attach/img1/797.jp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  <w:t>рис. Строение яйцеклетки птиц</w:t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 xml:space="preserve">2. </w:t>
      </w:r>
      <w:r>
        <w:rPr>
          <w:rFonts w:eastAsia="MS Mincho" w:ascii="Times New Roman" w:hAnsi="Times New Roman"/>
          <w:sz w:val="28"/>
          <w:szCs w:val="28"/>
        </w:rPr>
        <w:t>Используя рисунки, материал учебника, заполните таблицу</w:t>
      </w:r>
      <w:r>
        <w:rPr>
          <w:rFonts w:eastAsia="MS Mincho" w:ascii="Times New Roman" w:hAnsi="Times New Roman"/>
          <w:b/>
          <w:sz w:val="28"/>
          <w:szCs w:val="28"/>
        </w:rPr>
        <w:t>:</w:t>
      </w:r>
    </w:p>
    <w:tbl>
      <w:tblPr>
        <w:tblStyle w:val="a3"/>
        <w:tblW w:w="792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97"/>
        <w:gridCol w:w="2549"/>
        <w:gridCol w:w="2380"/>
      </w:tblGrid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Признаки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Сперматозоид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Яйцеклетка</w:t>
            </w:r>
          </w:p>
        </w:tc>
      </w:tr>
      <w:tr>
        <w:trPr>
          <w:trHeight w:val="358" w:hRule="atLeast"/>
        </w:trPr>
        <w:tc>
          <w:tcPr>
            <w:tcW w:w="29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Строение и  форма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Подвижность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Запас питательных веществ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Размер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Численность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2997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Набор хромосом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155" w:leader="none"/>
              </w:tabs>
              <w:spacing w:before="0" w:after="0"/>
              <w:jc w:val="start"/>
              <w:rPr>
                <w:rFonts w:ascii="Times New Roman" w:hAnsi="Times New Roman" w:eastAsia="MS Mincho"/>
                <w:b/>
                <w:b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MS Mincho" w:ascii="Times New Roman" w:hAnsi="Times New Roman"/>
                <w:b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 w:eastAsia="MS Mincho"/>
          <w:b/>
          <w:b/>
          <w:sz w:val="28"/>
          <w:szCs w:val="28"/>
        </w:rPr>
      </w:pPr>
      <w:r>
        <w:rPr>
          <w:rFonts w:eastAsia="MS Mincho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eastAsia="MS Mincho" w:ascii="Times New Roman" w:hAnsi="Times New Roman"/>
          <w:b/>
          <w:sz w:val="28"/>
          <w:szCs w:val="28"/>
        </w:rPr>
        <w:t>Вывод:</w:t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>1)Половые клетки – это…</w:t>
      </w:r>
    </w:p>
    <w:p>
      <w:pPr>
        <w:pStyle w:val="Normal"/>
        <w:tabs>
          <w:tab w:val="clear" w:pos="709"/>
          <w:tab w:val="left" w:pos="1155" w:leader="none"/>
        </w:tabs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>2)В отличие от яйцеклетки, сперматозоид…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eastAsia="MS Mincho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3)Яйцеклетка и сперматозоид  имеют сходство…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470" w:header="0" w:top="72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339</TotalTime>
  <Application>LibreOffice/7.1.4.2$Windows_x86 LibreOffice_project/a529a4fab45b75fefc5b6226684193eb000654f6</Application>
  <AppVersion>15.0000</AppVersion>
  <Pages>3</Pages>
  <Words>371</Words>
  <Characters>2629</Characters>
  <CharactersWithSpaces>3005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2023-12-19T17:55:57Z</cp:lastPrinted>
  <dcterms:modified xsi:type="dcterms:W3CDTF">2024-02-14T09:46:21Z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